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5"/>
        <w:gridCol w:w="4654"/>
        <w:gridCol w:w="4651"/>
      </w:tblGrid>
      <w:tr w:rsidR="005B297D" w:rsidRPr="008941D9" w14:paraId="37C8EBDA" w14:textId="77777777" w:rsidTr="00335B63">
        <w:tc>
          <w:tcPr>
            <w:tcW w:w="1667" w:type="pct"/>
          </w:tcPr>
          <w:p w14:paraId="1133A300" w14:textId="77777777" w:rsidR="005B297D" w:rsidRPr="008941D9" w:rsidRDefault="005B297D" w:rsidP="00335B63">
            <w:pPr>
              <w:rPr>
                <w:rFonts w:ascii="Arial" w:hAnsi="Arial" w:cs="Arial"/>
                <w:color w:val="000000" w:themeColor="text1"/>
                <w:sz w:val="20"/>
                <w:szCs w:val="20"/>
              </w:rPr>
            </w:pPr>
            <w:r w:rsidRPr="008941D9">
              <w:rPr>
                <w:rFonts w:ascii="Arial" w:hAnsi="Arial" w:cs="Arial"/>
                <w:b/>
                <w:bCs/>
                <w:color w:val="000000" w:themeColor="text1"/>
                <w:sz w:val="20"/>
                <w:szCs w:val="20"/>
              </w:rPr>
              <w:t>Biểu số: 0402.N.TĐKT</w:t>
            </w:r>
            <w:r w:rsidRPr="00E22C5F">
              <w:rPr>
                <w:rFonts w:ascii="Arial" w:hAnsi="Arial" w:cs="Arial"/>
                <w:b/>
                <w:bCs/>
                <w:color w:val="000000" w:themeColor="text1"/>
                <w:sz w:val="20"/>
                <w:szCs w:val="20"/>
              </w:rPr>
              <w:br/>
            </w: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i/>
                <w:iCs/>
                <w:color w:val="000000" w:themeColor="text1"/>
                <w:sz w:val="20"/>
                <w:szCs w:val="20"/>
              </w:rPr>
              <w:br/>
            </w:r>
            <w:r w:rsidRPr="008941D9">
              <w:rPr>
                <w:rFonts w:ascii="Arial" w:hAnsi="Arial" w:cs="Arial"/>
                <w:color w:val="000000" w:themeColor="text1"/>
                <w:sz w:val="20"/>
                <w:szCs w:val="20"/>
              </w:rPr>
              <w:t>Ngày nhận báo cáo: Ngày 15 tháng 12 năm báo cáo</w:t>
            </w:r>
          </w:p>
        </w:tc>
        <w:tc>
          <w:tcPr>
            <w:tcW w:w="1667" w:type="pct"/>
          </w:tcPr>
          <w:p w14:paraId="0500EDC7" w14:textId="77777777" w:rsidR="005B297D" w:rsidRPr="008941D9" w:rsidRDefault="005B297D" w:rsidP="00335B63">
            <w:pPr>
              <w:jc w:val="center"/>
              <w:rPr>
                <w:rFonts w:ascii="Arial" w:hAnsi="Arial" w:cs="Arial"/>
                <w:color w:val="000000" w:themeColor="text1"/>
                <w:sz w:val="20"/>
                <w:szCs w:val="20"/>
              </w:rPr>
            </w:pPr>
            <w:r w:rsidRPr="008941D9">
              <w:rPr>
                <w:rFonts w:ascii="Arial" w:hAnsi="Arial" w:cs="Arial"/>
                <w:b/>
                <w:bCs/>
                <w:color w:val="000000" w:themeColor="text1"/>
                <w:sz w:val="20"/>
                <w:szCs w:val="20"/>
              </w:rPr>
              <w:t>SỐ LƯỢNG KHEN THƯỞNG CẤP NHÀ NƯỚC</w:t>
            </w:r>
            <w:r w:rsidRPr="00E22C5F">
              <w:rPr>
                <w:rFonts w:ascii="Arial" w:hAnsi="Arial" w:cs="Arial"/>
                <w:b/>
                <w:bCs/>
                <w:color w:val="000000" w:themeColor="text1"/>
                <w:sz w:val="20"/>
                <w:szCs w:val="20"/>
              </w:rPr>
              <w:br/>
            </w:r>
            <w:r w:rsidRPr="008941D9">
              <w:rPr>
                <w:rFonts w:ascii="Arial" w:hAnsi="Arial" w:cs="Arial"/>
                <w:color w:val="000000" w:themeColor="text1"/>
                <w:sz w:val="20"/>
                <w:szCs w:val="20"/>
              </w:rPr>
              <w:t>Năm…</w:t>
            </w:r>
          </w:p>
        </w:tc>
        <w:tc>
          <w:tcPr>
            <w:tcW w:w="1667" w:type="pct"/>
          </w:tcPr>
          <w:p w14:paraId="0FAE964E" w14:textId="77777777" w:rsidR="005B297D" w:rsidRPr="008941D9" w:rsidRDefault="005B297D" w:rsidP="00335B63">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r w:rsidRPr="008941D9">
              <w:rPr>
                <w:rFonts w:ascii="Arial" w:hAnsi="Arial" w:cs="Arial"/>
                <w:color w:val="000000" w:themeColor="text1"/>
                <w:sz w:val="20"/>
                <w:szCs w:val="20"/>
              </w:rPr>
              <w:br/>
              <w:t>Đơn vị nhận báo cáo: Ban Thi đua – Khen</w:t>
            </w:r>
            <w:r w:rsidRPr="00BE7FF2">
              <w:rPr>
                <w:rFonts w:ascii="Arial" w:hAnsi="Arial" w:cs="Arial"/>
                <w:color w:val="000000" w:themeColor="text1"/>
                <w:sz w:val="20"/>
                <w:szCs w:val="20"/>
              </w:rPr>
              <w:t xml:space="preserve"> </w:t>
            </w:r>
            <w:r w:rsidRPr="008941D9">
              <w:rPr>
                <w:rFonts w:ascii="Arial" w:hAnsi="Arial" w:cs="Arial"/>
                <w:color w:val="000000" w:themeColor="text1"/>
                <w:sz w:val="20"/>
                <w:szCs w:val="20"/>
              </w:rPr>
              <w:t>thưởng Trung ương</w:t>
            </w:r>
          </w:p>
        </w:tc>
      </w:tr>
    </w:tbl>
    <w:p w14:paraId="320CE8E8" w14:textId="77777777" w:rsidR="005B297D" w:rsidRPr="008941D9" w:rsidRDefault="005B297D" w:rsidP="000F3AE7">
      <w:pPr>
        <w:rPr>
          <w:rFonts w:cs="Arial"/>
          <w:color w:val="000000" w:themeColor="text1"/>
          <w:szCs w:val="20"/>
        </w:rPr>
      </w:pPr>
    </w:p>
    <w:p w14:paraId="344FD689" w14:textId="77777777" w:rsidR="005B297D" w:rsidRPr="008941D9" w:rsidRDefault="005B297D" w:rsidP="000F3AE7">
      <w:pPr>
        <w:jc w:val="center"/>
        <w:rPr>
          <w:rFonts w:cs="Arial"/>
          <w:color w:val="000000" w:themeColor="text1"/>
          <w:szCs w:val="20"/>
          <w:lang w:val="en-US"/>
        </w:rPr>
      </w:pPr>
      <w:r w:rsidRPr="008941D9">
        <w:rPr>
          <w:rFonts w:cs="Arial"/>
          <w:noProof/>
          <w:color w:val="000000" w:themeColor="text1"/>
          <w:szCs w:val="20"/>
        </w:rPr>
        <w:drawing>
          <wp:inline distT="0" distB="0" distL="0" distR="0" wp14:anchorId="1450D87B" wp14:editId="7C8DA3F9">
            <wp:extent cx="8878650" cy="4606847"/>
            <wp:effectExtent l="0" t="0" r="0" b="3810"/>
            <wp:docPr id="20817396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739648" name=""/>
                    <pic:cNvPicPr/>
                  </pic:nvPicPr>
                  <pic:blipFill>
                    <a:blip r:embed="rId4"/>
                    <a:stretch>
                      <a:fillRect/>
                    </a:stretch>
                  </pic:blipFill>
                  <pic:spPr>
                    <a:xfrm>
                      <a:off x="0" y="0"/>
                      <a:ext cx="8909174" cy="4622685"/>
                    </a:xfrm>
                    <a:prstGeom prst="rect">
                      <a:avLst/>
                    </a:prstGeom>
                  </pic:spPr>
                </pic:pic>
              </a:graphicData>
            </a:graphic>
          </wp:inline>
        </w:drawing>
      </w:r>
    </w:p>
    <w:p w14:paraId="75E61FD5" w14:textId="77777777" w:rsidR="005B297D" w:rsidRPr="008941D9" w:rsidRDefault="005B297D" w:rsidP="000F3AE7">
      <w:pPr>
        <w:rPr>
          <w:rFonts w:cs="Arial"/>
          <w:color w:val="000000" w:themeColor="text1"/>
          <w:szCs w:val="20"/>
          <w:lang w:val="en-US"/>
        </w:rPr>
      </w:pPr>
    </w:p>
    <w:p w14:paraId="186014F5" w14:textId="77777777" w:rsidR="005B297D" w:rsidRDefault="005B297D" w:rsidP="000F3AE7">
      <w:pPr>
        <w:jc w:val="center"/>
        <w:rPr>
          <w:rFonts w:cs="Arial"/>
          <w:color w:val="000000" w:themeColor="text1"/>
          <w:szCs w:val="20"/>
          <w:lang w:val="en-US"/>
        </w:rPr>
      </w:pPr>
      <w:r w:rsidRPr="008941D9">
        <w:rPr>
          <w:rFonts w:cs="Arial"/>
          <w:noProof/>
          <w:color w:val="000000" w:themeColor="text1"/>
          <w:szCs w:val="20"/>
        </w:rPr>
        <w:lastRenderedPageBreak/>
        <w:drawing>
          <wp:inline distT="0" distB="0" distL="0" distR="0" wp14:anchorId="60D8779F" wp14:editId="6B720BD1">
            <wp:extent cx="8977745" cy="4455213"/>
            <wp:effectExtent l="0" t="0" r="0" b="2540"/>
            <wp:docPr id="2050796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79697" name=""/>
                    <pic:cNvPicPr/>
                  </pic:nvPicPr>
                  <pic:blipFill>
                    <a:blip r:embed="rId5"/>
                    <a:stretch>
                      <a:fillRect/>
                    </a:stretch>
                  </pic:blipFill>
                  <pic:spPr>
                    <a:xfrm>
                      <a:off x="0" y="0"/>
                      <a:ext cx="8998617" cy="4465571"/>
                    </a:xfrm>
                    <a:prstGeom prst="rect">
                      <a:avLst/>
                    </a:prstGeom>
                  </pic:spPr>
                </pic:pic>
              </a:graphicData>
            </a:graphic>
          </wp:inline>
        </w:drawing>
      </w:r>
    </w:p>
    <w:p w14:paraId="3910C81B" w14:textId="77777777" w:rsidR="005B297D" w:rsidRDefault="005B297D" w:rsidP="000F3AE7">
      <w:pPr>
        <w:adjustRightInd w:val="0"/>
        <w:snapToGrid w:val="0"/>
        <w:spacing w:after="120"/>
        <w:ind w:firstLine="720"/>
        <w:rPr>
          <w:rFonts w:cs="Arial"/>
          <w:b/>
          <w:bCs/>
          <w:color w:val="000000" w:themeColor="text1"/>
          <w:szCs w:val="20"/>
          <w:lang w:val="en-US"/>
        </w:rPr>
      </w:pPr>
    </w:p>
    <w:p w14:paraId="53D98A20" w14:textId="72880AB9" w:rsidR="005B297D" w:rsidRDefault="005B297D">
      <w:pPr>
        <w:rPr>
          <w:rFonts w:cs="Arial"/>
          <w:b/>
          <w:bCs/>
          <w:color w:val="000000" w:themeColor="text1"/>
          <w:szCs w:val="20"/>
          <w:lang w:val="en-US"/>
        </w:rPr>
      </w:pPr>
    </w:p>
    <w:p w14:paraId="68104860" w14:textId="77777777" w:rsidR="00FF6BF3" w:rsidRDefault="00FF6BF3" w:rsidP="000F3AE7">
      <w:pPr>
        <w:adjustRightInd w:val="0"/>
        <w:snapToGrid w:val="0"/>
        <w:spacing w:after="120"/>
        <w:ind w:firstLine="720"/>
        <w:rPr>
          <w:rFonts w:cs="Arial"/>
          <w:b/>
          <w:bCs/>
          <w:color w:val="000000" w:themeColor="text1"/>
          <w:szCs w:val="20"/>
        </w:rPr>
        <w:sectPr w:rsidR="00FF6BF3" w:rsidSect="00FF6BF3">
          <w:pgSz w:w="16840" w:h="11900" w:orient="landscape" w:code="127"/>
          <w:pgMar w:top="1440" w:right="1440" w:bottom="1440" w:left="1440" w:header="0" w:footer="6" w:gutter="0"/>
          <w:cols w:space="708"/>
          <w:noEndnote/>
          <w:docGrid w:linePitch="360"/>
        </w:sectPr>
      </w:pPr>
    </w:p>
    <w:p w14:paraId="5B94D10E"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lastRenderedPageBreak/>
        <w:t>Biểu số 0402.N.TĐKT: Số lượng khen thưởng cấp Nhà nước</w:t>
      </w:r>
    </w:p>
    <w:p w14:paraId="7724E158" w14:textId="77777777" w:rsidR="005B297D" w:rsidRPr="008941D9" w:rsidRDefault="005B297D" w:rsidP="000F3AE7">
      <w:pPr>
        <w:adjustRightInd w:val="0"/>
        <w:snapToGrid w:val="0"/>
        <w:spacing w:after="120"/>
        <w:ind w:firstLine="720"/>
        <w:rPr>
          <w:rFonts w:cs="Arial"/>
          <w:color w:val="000000" w:themeColor="text1"/>
          <w:szCs w:val="20"/>
        </w:rPr>
      </w:pPr>
      <w:bookmarkStart w:id="0" w:name="bookmark21"/>
      <w:bookmarkEnd w:id="0"/>
      <w:r w:rsidRPr="008941D9">
        <w:rPr>
          <w:rFonts w:cs="Arial"/>
          <w:b/>
          <w:bCs/>
          <w:color w:val="000000" w:themeColor="text1"/>
          <w:szCs w:val="20"/>
        </w:rPr>
        <w:t>1. Khái niệm, phương pháp tính</w:t>
      </w:r>
    </w:p>
    <w:p w14:paraId="5CE5F650"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Hình thức khen thưởng và danh hiệu thi đua cấp Nhà nước là hình thức khen thưởng và danh hiệu thi đua thuộc thẩm quyền quyết định của Chủ tịch nước, Chính phủ, Thủ tướng Chính phủ.</w:t>
      </w:r>
    </w:p>
    <w:p w14:paraId="7D2732F3"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Hình thức khen thưởng cấp Nhà nước gồm: Huân chương; Huy chương; Danh hiệu vinh dự nhà nước; “Giải thưởng Hồ Chí Minh”, “Giải thưởng Nhà nước”; Bằng khen của Thủ tướng Chính phủ.</w:t>
      </w:r>
    </w:p>
    <w:p w14:paraId="63DA96F3" w14:textId="77777777" w:rsidR="005B297D" w:rsidRPr="008941D9" w:rsidRDefault="005B297D" w:rsidP="000F3AE7">
      <w:pPr>
        <w:adjustRightInd w:val="0"/>
        <w:snapToGrid w:val="0"/>
        <w:spacing w:after="120"/>
        <w:ind w:firstLine="720"/>
        <w:rPr>
          <w:rFonts w:cs="Arial"/>
          <w:color w:val="000000" w:themeColor="text1"/>
          <w:szCs w:val="20"/>
        </w:rPr>
      </w:pPr>
      <w:bookmarkStart w:id="1" w:name="bookmark22"/>
      <w:bookmarkEnd w:id="1"/>
      <w:r w:rsidRPr="008941D9">
        <w:rPr>
          <w:rFonts w:cs="Arial"/>
          <w:color w:val="000000" w:themeColor="text1"/>
          <w:szCs w:val="20"/>
        </w:rPr>
        <w:t>- Huân chương gồm: “Huân chương Sao vàng”; “Huân chương Hồ Chí Minh”; “Huân chương Độc lập” hạng Nhất, hạng Nhì, hạng Ba; “Huân chương Quân công” hạng Nhất, hạng Nhì, hạng Ba; “Huân chương Lao động” hạng Nhất, hạng Nhì, hạng Ba; “Huân chương Bảo vệ Tổ quốc” hạng Nhất, hạng Nhì, hạng Ba; “Huân chương Chiến công” hạng Nhất, hạng Nhì, hạng Ba; “Huân chương Đại đoàn kết dân tộc”; “Huân chương Dũng cảm”; “Huân chương Hữu nghị”.</w:t>
      </w:r>
    </w:p>
    <w:p w14:paraId="53DDE016" w14:textId="77777777" w:rsidR="005B297D" w:rsidRPr="008941D9" w:rsidRDefault="005B297D" w:rsidP="000F3AE7">
      <w:pPr>
        <w:adjustRightInd w:val="0"/>
        <w:snapToGrid w:val="0"/>
        <w:spacing w:after="120"/>
        <w:ind w:firstLine="720"/>
        <w:rPr>
          <w:rFonts w:cs="Arial"/>
          <w:color w:val="000000" w:themeColor="text1"/>
          <w:szCs w:val="20"/>
        </w:rPr>
      </w:pPr>
      <w:bookmarkStart w:id="2" w:name="bookmark23"/>
      <w:bookmarkEnd w:id="2"/>
      <w:r w:rsidRPr="008941D9">
        <w:rPr>
          <w:rFonts w:cs="Arial"/>
          <w:color w:val="000000" w:themeColor="text1"/>
          <w:szCs w:val="20"/>
        </w:rPr>
        <w:t>- Huy chương gồm: “Huy chương Quân kỳ quyết thắng”; “Huy chương Vì an ninh Tổ quốc”; “Huy chương Chiến sĩ vẻ vang” hạng Nhất, hạng Nhì, hạng Ba; “Huy chương Hữu nghị”; “Huy chương Thanh niên xung phong vẻ vang”.</w:t>
      </w:r>
    </w:p>
    <w:p w14:paraId="01EA96D8"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Danh hiệu thi đua cấp Nhà nước gồm: Danh hiệu thi đua đối với cá nhân: “Chiến sĩ thi đua toàn quốc”; danh hiệu thi đua đối với tập thể: “Cờ thi đua của Chính phủ”.</w:t>
      </w:r>
    </w:p>
    <w:p w14:paraId="1FA990B2"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Phương pháp tính: Tính số lượng của từng hình thức khen thưởng và danh hiệu thi đua cấp Nhà nước và theo từng hạng (nếu có phân hạng). Thời gian tính: Số liệu từ ngày 01/12 năm trước đến ngày 30/11 năm sau..</w:t>
      </w:r>
    </w:p>
    <w:p w14:paraId="4720C74B" w14:textId="77777777" w:rsidR="005B297D" w:rsidRPr="008941D9" w:rsidRDefault="005B297D" w:rsidP="000F3AE7">
      <w:pPr>
        <w:adjustRightInd w:val="0"/>
        <w:snapToGrid w:val="0"/>
        <w:spacing w:after="120"/>
        <w:ind w:firstLine="720"/>
        <w:rPr>
          <w:rFonts w:cs="Arial"/>
          <w:color w:val="000000" w:themeColor="text1"/>
          <w:szCs w:val="20"/>
        </w:rPr>
      </w:pPr>
      <w:bookmarkStart w:id="3" w:name="bookmark24"/>
      <w:bookmarkEnd w:id="3"/>
      <w:r w:rsidRPr="008941D9">
        <w:rPr>
          <w:rFonts w:cs="Arial"/>
          <w:b/>
          <w:bCs/>
          <w:color w:val="000000" w:themeColor="text1"/>
          <w:szCs w:val="20"/>
        </w:rPr>
        <w:t>2. Cách ghi biểu</w:t>
      </w:r>
    </w:p>
    <w:p w14:paraId="4F8A75CA"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lượng khen thưởng cấp Nhà nước và chia theo từng loại tương ứng với các dòng của cột A có từ ngày 01/12 năm trước đến ngày 30/11 năm sau.</w:t>
      </w:r>
    </w:p>
    <w:p w14:paraId="0DD5B5A8"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thành nhiều cột, mỗi cột ghi một hình thức huân chương, huy chương tương ứng với các dòng của cột A có từ ngày 01/12 năm trước đến ngày 30/11 năm sau.</w:t>
      </w:r>
    </w:p>
    <w:p w14:paraId="5AA69764"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tổng số lượng Giải thưởng Hồ Chí Minh và chia theo từng loại tương ứng với các dòng của cột A có từ ngày 01/12 năm trước đến ngày 30/11 năm sau.</w:t>
      </w:r>
    </w:p>
    <w:p w14:paraId="440ABB5C"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tổng số lượng Giải thưởng Nhà nước và chia theo từng loại tương ứng với các dòng của cột A có từ ngày 01/12 năm trước đến ngày 30/11 năm sau.</w:t>
      </w:r>
    </w:p>
    <w:p w14:paraId="6AC27EB4"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tổng số lượng danh hiệu vinh dự nhà nước và chia theo từng loại tương ứng với các dòng của cột A có từ ngày 01/12 năm trước đến ngày 30/11 năm sau.</w:t>
      </w:r>
    </w:p>
    <w:p w14:paraId="4283A7C4"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tổng số lượng Cờ thi đua của Chính phủ và chia theo từng loại tương ứng với các dòng của cột A có từ ngày 01/12 năm trước đến ngày 30/11 năm sau.</w:t>
      </w:r>
    </w:p>
    <w:p w14:paraId="4FC7E504"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tổng số lượng danh hiệu Bằng khen của Thủ tướng Chính phủ và chia theo từng loại tương ứng với các dòng của cột A có từ ngày 01/12 năm trước đến ngày 30/11 năm sau.</w:t>
      </w:r>
    </w:p>
    <w:p w14:paraId="42A9A9FD" w14:textId="77777777" w:rsidR="005B297D" w:rsidRPr="008941D9" w:rsidRDefault="005B297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8: Ghi tổng số lượng danh hiệu “Chiến sĩ thi đua Toàn quốc” và chia theo từng loại tương ứng với các dòng của cột A có từ ngày 01/12 năm trước đến ngày 30/11 năm sau.</w:t>
      </w:r>
    </w:p>
    <w:p w14:paraId="1202E30B" w14:textId="77777777" w:rsidR="00FF6BF3" w:rsidRDefault="005B297D" w:rsidP="00FF6BF3">
      <w:pPr>
        <w:adjustRightInd w:val="0"/>
        <w:snapToGrid w:val="0"/>
        <w:spacing w:after="120"/>
        <w:ind w:firstLine="720"/>
        <w:rPr>
          <w:rFonts w:cs="Arial"/>
          <w:b/>
          <w:bCs/>
          <w:color w:val="000000" w:themeColor="text1"/>
          <w:szCs w:val="20"/>
          <w:lang w:val="en-US"/>
        </w:rPr>
      </w:pPr>
      <w:bookmarkStart w:id="4" w:name="bookmark25"/>
      <w:bookmarkEnd w:id="4"/>
      <w:r w:rsidRPr="008941D9">
        <w:rPr>
          <w:rFonts w:cs="Arial"/>
          <w:b/>
          <w:bCs/>
          <w:color w:val="000000" w:themeColor="text1"/>
          <w:szCs w:val="20"/>
        </w:rPr>
        <w:t>3. Nguồn số liệu</w:t>
      </w:r>
    </w:p>
    <w:p w14:paraId="332E5A74" w14:textId="74A5A6F4" w:rsidR="00133017" w:rsidRDefault="005B297D" w:rsidP="00FF6BF3">
      <w:pPr>
        <w:adjustRightInd w:val="0"/>
        <w:snapToGrid w:val="0"/>
        <w:spacing w:after="120"/>
        <w:ind w:firstLine="720"/>
      </w:pPr>
      <w:r w:rsidRPr="008941D9">
        <w:rPr>
          <w:rFonts w:cs="Arial"/>
          <w:color w:val="000000" w:themeColor="text1"/>
          <w:szCs w:val="20"/>
        </w:rPr>
        <w:t>Chế độ báo cáo thống kê ngành Nội vụ.</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7D"/>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B297D"/>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 w:val="00FF6BF3"/>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91DB"/>
  <w15:chartTrackingRefBased/>
  <w15:docId w15:val="{EC0DAB93-6B37-4BF5-AD7C-F61F428E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9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29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297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297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297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B297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B297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B297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297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97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297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297D"/>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297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B297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B297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297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297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297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29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9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9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97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297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B297D"/>
    <w:rPr>
      <w:i/>
      <w:iCs/>
      <w:color w:val="404040" w:themeColor="text1" w:themeTint="BF"/>
    </w:rPr>
  </w:style>
  <w:style w:type="paragraph" w:styleId="ListParagraph">
    <w:name w:val="List Paragraph"/>
    <w:basedOn w:val="Normal"/>
    <w:uiPriority w:val="34"/>
    <w:qFormat/>
    <w:rsid w:val="005B297D"/>
    <w:pPr>
      <w:ind w:left="720"/>
      <w:contextualSpacing/>
    </w:pPr>
  </w:style>
  <w:style w:type="character" w:styleId="IntenseEmphasis">
    <w:name w:val="Intense Emphasis"/>
    <w:basedOn w:val="DefaultParagraphFont"/>
    <w:uiPriority w:val="21"/>
    <w:qFormat/>
    <w:rsid w:val="005B297D"/>
    <w:rPr>
      <w:i/>
      <w:iCs/>
      <w:color w:val="2F5496" w:themeColor="accent1" w:themeShade="BF"/>
    </w:rPr>
  </w:style>
  <w:style w:type="paragraph" w:styleId="IntenseQuote">
    <w:name w:val="Intense Quote"/>
    <w:basedOn w:val="Normal"/>
    <w:next w:val="Normal"/>
    <w:link w:val="IntenseQuoteChar"/>
    <w:uiPriority w:val="30"/>
    <w:qFormat/>
    <w:rsid w:val="005B29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297D"/>
    <w:rPr>
      <w:i/>
      <w:iCs/>
      <w:color w:val="2F5496" w:themeColor="accent1" w:themeShade="BF"/>
    </w:rPr>
  </w:style>
  <w:style w:type="character" w:styleId="IntenseReference">
    <w:name w:val="Intense Reference"/>
    <w:basedOn w:val="DefaultParagraphFont"/>
    <w:uiPriority w:val="32"/>
    <w:qFormat/>
    <w:rsid w:val="005B297D"/>
    <w:rPr>
      <w:b/>
      <w:bCs/>
      <w:smallCaps/>
      <w:color w:val="2F5496" w:themeColor="accent1" w:themeShade="BF"/>
      <w:spacing w:val="5"/>
    </w:rPr>
  </w:style>
  <w:style w:type="table" w:styleId="TableGrid">
    <w:name w:val="Table Grid"/>
    <w:basedOn w:val="TableNormal"/>
    <w:uiPriority w:val="39"/>
    <w:rsid w:val="005B297D"/>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2025-10-13T04:54:00Z</dcterms:modified>
</cp:coreProperties>
</file>